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8D54" w14:textId="77777777" w:rsidR="009E2BD6" w:rsidRPr="007B540D" w:rsidRDefault="009E2BD6" w:rsidP="009E2BD6">
      <w:pPr>
        <w:spacing w:before="100" w:beforeAutospacing="1" w:after="100" w:afterAutospacing="1"/>
        <w:rPr>
          <w:rFonts w:ascii="Times New Roman" w:eastAsia="Times New Roman" w:hAnsi="Times New Roman" w:cs="Times New Roman"/>
        </w:rPr>
      </w:pPr>
      <w:r>
        <w:rPr>
          <w:rFonts w:eastAsia="Times New Roman"/>
          <w:b/>
          <w:bCs/>
        </w:rPr>
        <w:t>To:</w:t>
      </w:r>
      <w:r>
        <w:rPr>
          <w:rFonts w:eastAsia="Times New Roman"/>
          <w:b/>
          <w:bCs/>
        </w:rPr>
        <w:tab/>
      </w:r>
      <w:r w:rsidRPr="007B540D">
        <w:rPr>
          <w:rFonts w:eastAsia="Times New Roman"/>
          <w:b/>
          <w:bCs/>
        </w:rPr>
        <w:t>Interested Parties</w:t>
      </w:r>
      <w:r w:rsidRPr="007B540D">
        <w:rPr>
          <w:rFonts w:eastAsia="Times New Roman"/>
          <w:b/>
          <w:bCs/>
        </w:rPr>
        <w:br/>
        <w:t xml:space="preserve">From: </w:t>
      </w:r>
      <w:r>
        <w:rPr>
          <w:rFonts w:eastAsia="Times New Roman"/>
          <w:b/>
          <w:bCs/>
        </w:rPr>
        <w:tab/>
      </w:r>
      <w:r w:rsidRPr="007B540D">
        <w:rPr>
          <w:rFonts w:eastAsia="Times New Roman"/>
          <w:b/>
          <w:bCs/>
        </w:rPr>
        <w:t>Ken</w:t>
      </w:r>
      <w:r>
        <w:rPr>
          <w:rFonts w:eastAsia="Times New Roman"/>
          <w:b/>
          <w:bCs/>
        </w:rPr>
        <w:t xml:space="preserve"> </w:t>
      </w:r>
      <w:r w:rsidRPr="007B540D">
        <w:rPr>
          <w:rFonts w:eastAsia="Times New Roman"/>
          <w:b/>
          <w:bCs/>
        </w:rPr>
        <w:t>Gude</w:t>
      </w:r>
      <w:r w:rsidRPr="007B540D">
        <w:rPr>
          <w:rFonts w:eastAsia="Times New Roman"/>
          <w:b/>
          <w:bCs/>
        </w:rPr>
        <w:br/>
        <w:t xml:space="preserve">Date: </w:t>
      </w:r>
      <w:r>
        <w:rPr>
          <w:rFonts w:eastAsia="Times New Roman"/>
          <w:b/>
          <w:bCs/>
        </w:rPr>
        <w:tab/>
      </w:r>
      <w:r w:rsidRPr="007B540D">
        <w:rPr>
          <w:rFonts w:eastAsia="Times New Roman"/>
          <w:b/>
          <w:bCs/>
        </w:rPr>
        <w:t>November 2</w:t>
      </w:r>
      <w:r>
        <w:rPr>
          <w:rFonts w:eastAsia="Times New Roman"/>
          <w:b/>
          <w:bCs/>
        </w:rPr>
        <w:t>9</w:t>
      </w:r>
      <w:r w:rsidRPr="007B540D">
        <w:rPr>
          <w:rFonts w:eastAsia="Times New Roman"/>
          <w:b/>
          <w:bCs/>
        </w:rPr>
        <w:t>, 2022</w:t>
      </w:r>
      <w:r w:rsidRPr="007B540D">
        <w:rPr>
          <w:rFonts w:eastAsia="Times New Roman"/>
          <w:b/>
          <w:bCs/>
        </w:rPr>
        <w:br/>
        <w:t xml:space="preserve">Re: </w:t>
      </w:r>
      <w:r>
        <w:rPr>
          <w:rFonts w:eastAsia="Times New Roman"/>
          <w:b/>
          <w:bCs/>
        </w:rPr>
        <w:tab/>
      </w:r>
      <w:r w:rsidRPr="007B540D">
        <w:rPr>
          <w:rFonts w:eastAsia="Times New Roman"/>
          <w:b/>
          <w:bCs/>
        </w:rPr>
        <w:t xml:space="preserve">How trusted technology can help </w:t>
      </w:r>
      <w:r>
        <w:rPr>
          <w:rFonts w:eastAsia="Times New Roman"/>
          <w:b/>
          <w:bCs/>
        </w:rPr>
        <w:t xml:space="preserve">better </w:t>
      </w:r>
      <w:r w:rsidRPr="007B540D">
        <w:rPr>
          <w:rFonts w:eastAsia="Times New Roman"/>
          <w:b/>
          <w:bCs/>
        </w:rPr>
        <w:t xml:space="preserve">protect </w:t>
      </w:r>
      <w:r>
        <w:rPr>
          <w:rFonts w:eastAsia="Times New Roman"/>
          <w:b/>
          <w:bCs/>
        </w:rPr>
        <w:t xml:space="preserve">us </w:t>
      </w:r>
      <w:r w:rsidRPr="007B540D">
        <w:rPr>
          <w:rFonts w:eastAsia="Times New Roman"/>
          <w:b/>
          <w:bCs/>
        </w:rPr>
        <w:t xml:space="preserve">against modern digital threats </w:t>
      </w:r>
    </w:p>
    <w:p w14:paraId="2F9C805F" w14:textId="54C26654" w:rsidR="009E2BD6" w:rsidRPr="007B540D" w:rsidRDefault="009E2BD6" w:rsidP="009E2BD6">
      <w:pPr>
        <w:spacing w:before="100" w:beforeAutospacing="1" w:after="100" w:afterAutospacing="1"/>
        <w:rPr>
          <w:rFonts w:ascii="Times New Roman" w:eastAsia="Times New Roman" w:hAnsi="Times New Roman" w:cs="Times New Roman"/>
        </w:rPr>
      </w:pPr>
      <w:r w:rsidRPr="007B540D">
        <w:rPr>
          <w:rFonts w:eastAsia="Times New Roman"/>
        </w:rPr>
        <w:t xml:space="preserve">Trusted Future recently co-hosted a discussion with the Munich Security Conference (MSC) on cyber and digital threats to the transatlantic community. The event followed a high-level roundtable discussion that MSC hosted in Washington about how the transatlantic community can leverage technology for strategic advantage in the face of current and future technology- enabled threats. </w:t>
      </w:r>
      <w:r>
        <w:rPr>
          <w:rFonts w:eastAsia="Times New Roman"/>
        </w:rPr>
        <w:t>While t</w:t>
      </w:r>
      <w:r w:rsidRPr="007B540D">
        <w:rPr>
          <w:rFonts w:eastAsia="Times New Roman"/>
        </w:rPr>
        <w:t>he war in Ukraine was the backdrop to the conversations</w:t>
      </w:r>
      <w:r>
        <w:rPr>
          <w:rFonts w:eastAsia="Times New Roman"/>
        </w:rPr>
        <w:t>, the discussions also elevated the critical role of having robust cybersecurity defenses, and</w:t>
      </w:r>
      <w:r w:rsidR="008E56B9">
        <w:rPr>
          <w:rFonts w:eastAsia="Times New Roman"/>
        </w:rPr>
        <w:t>,</w:t>
      </w:r>
      <w:r>
        <w:rPr>
          <w:rFonts w:eastAsia="Times New Roman"/>
        </w:rPr>
        <w:t xml:space="preserve"> </w:t>
      </w:r>
      <w:r w:rsidRPr="007B540D">
        <w:rPr>
          <w:rFonts w:eastAsia="Times New Roman"/>
        </w:rPr>
        <w:t>importantly</w:t>
      </w:r>
      <w:r w:rsidR="008E56B9">
        <w:rPr>
          <w:rFonts w:eastAsia="Times New Roman"/>
        </w:rPr>
        <w:t>,</w:t>
      </w:r>
      <w:r w:rsidRPr="007B540D">
        <w:rPr>
          <w:rFonts w:eastAsia="Times New Roman"/>
        </w:rPr>
        <w:t xml:space="preserve"> Ukraine’s innovative, inspiring, and informative use of technology </w:t>
      </w:r>
      <w:r>
        <w:rPr>
          <w:rFonts w:eastAsia="Times New Roman"/>
        </w:rPr>
        <w:t xml:space="preserve">throughout </w:t>
      </w:r>
      <w:r w:rsidRPr="007B540D">
        <w:rPr>
          <w:rFonts w:eastAsia="Times New Roman"/>
        </w:rPr>
        <w:t xml:space="preserve">the conflict. </w:t>
      </w:r>
    </w:p>
    <w:p w14:paraId="21F5807A" w14:textId="6CBB182A" w:rsidR="009E2BD6" w:rsidRDefault="009E2BD6" w:rsidP="009E2BD6">
      <w:pPr>
        <w:spacing w:before="100" w:beforeAutospacing="1" w:after="100" w:afterAutospacing="1"/>
        <w:rPr>
          <w:rFonts w:eastAsia="Times New Roman"/>
        </w:rPr>
      </w:pPr>
      <w:r w:rsidRPr="007B540D">
        <w:rPr>
          <w:rFonts w:eastAsia="Times New Roman"/>
        </w:rPr>
        <w:t xml:space="preserve">These talks build off a conversation Trusted Future held </w:t>
      </w:r>
      <w:r>
        <w:rPr>
          <w:rFonts w:eastAsia="Times New Roman"/>
        </w:rPr>
        <w:t xml:space="preserve">earlier this year </w:t>
      </w:r>
      <w:r w:rsidRPr="007B540D">
        <w:rPr>
          <w:rFonts w:eastAsia="Times New Roman"/>
        </w:rPr>
        <w:t>on the sidelines of MSC’s annual conference in Munich</w:t>
      </w:r>
      <w:r>
        <w:rPr>
          <w:rFonts w:eastAsia="Times New Roman"/>
        </w:rPr>
        <w:t xml:space="preserve"> in February</w:t>
      </w:r>
      <w:r w:rsidRPr="007B540D">
        <w:rPr>
          <w:rFonts w:eastAsia="Times New Roman"/>
        </w:rPr>
        <w:t xml:space="preserve">. While </w:t>
      </w:r>
      <w:r>
        <w:rPr>
          <w:rFonts w:eastAsia="Times New Roman"/>
        </w:rPr>
        <w:t xml:space="preserve">the </w:t>
      </w:r>
      <w:r w:rsidRPr="007B540D">
        <w:rPr>
          <w:rFonts w:eastAsia="Times New Roman"/>
        </w:rPr>
        <w:t xml:space="preserve">conversations were held less than a year apart, </w:t>
      </w:r>
      <w:r>
        <w:rPr>
          <w:rFonts w:eastAsia="Times New Roman"/>
        </w:rPr>
        <w:t xml:space="preserve">so much had changed in such a short time. </w:t>
      </w:r>
      <w:r w:rsidRPr="007B540D">
        <w:rPr>
          <w:rFonts w:eastAsia="Times New Roman"/>
        </w:rPr>
        <w:t xml:space="preserve">The </w:t>
      </w:r>
      <w:r>
        <w:rPr>
          <w:rFonts w:eastAsia="Times New Roman"/>
        </w:rPr>
        <w:t xml:space="preserve">first </w:t>
      </w:r>
      <w:r w:rsidRPr="007B540D">
        <w:rPr>
          <w:rFonts w:eastAsia="Times New Roman"/>
        </w:rPr>
        <w:t>event was held on the eve of the Russian invasion. In the time since, the world has w</w:t>
      </w:r>
      <w:r>
        <w:rPr>
          <w:rFonts w:eastAsia="Times New Roman"/>
        </w:rPr>
        <w:t xml:space="preserve">atched as </w:t>
      </w:r>
      <w:r w:rsidRPr="007B540D">
        <w:rPr>
          <w:rFonts w:eastAsia="Times New Roman"/>
        </w:rPr>
        <w:t>Ukraine defied all expectations</w:t>
      </w:r>
      <w:r>
        <w:rPr>
          <w:rFonts w:eastAsia="Times New Roman"/>
        </w:rPr>
        <w:t xml:space="preserve">, with the role of information and communications technology playing an important part.  </w:t>
      </w:r>
    </w:p>
    <w:p w14:paraId="624E8922" w14:textId="6EDC1385" w:rsidR="009E2BD6" w:rsidRDefault="009E2BD6" w:rsidP="009E2BD6">
      <w:pPr>
        <w:spacing w:before="100" w:beforeAutospacing="1" w:after="100" w:afterAutospacing="1"/>
        <w:rPr>
          <w:rFonts w:eastAsia="Times New Roman"/>
        </w:rPr>
      </w:pPr>
      <w:r>
        <w:rPr>
          <w:rFonts w:eastAsia="Times New Roman"/>
        </w:rPr>
        <w:t>Rather than seeing oft predicted debilitating cyber-attacks against Ukraine’s critical infrastructure, we saw the ability of intensive public-private defensive planning and operations thwart the attempts by Russian forces to take utilities and other assets off-line. We also saw how everyday Ukrainians harnessed some of the same personal and commercial technologies that they used in the</w:t>
      </w:r>
      <w:r w:rsidR="008E56B9">
        <w:rPr>
          <w:rFonts w:eastAsia="Times New Roman"/>
        </w:rPr>
        <w:t>ir</w:t>
      </w:r>
      <w:r>
        <w:rPr>
          <w:rFonts w:eastAsia="Times New Roman"/>
        </w:rPr>
        <w:t xml:space="preserve"> daily lives before the invasion in new and effective ways to </w:t>
      </w:r>
      <w:r w:rsidRPr="00654866">
        <w:rPr>
          <w:rFonts w:eastAsia="Times New Roman"/>
        </w:rPr>
        <w:t>participate in their nation’s defense while not be</w:t>
      </w:r>
      <w:r>
        <w:rPr>
          <w:rFonts w:eastAsia="Times New Roman"/>
        </w:rPr>
        <w:t xml:space="preserve">coming </w:t>
      </w:r>
      <w:r w:rsidRPr="00654866">
        <w:rPr>
          <w:rFonts w:eastAsia="Times New Roman"/>
        </w:rPr>
        <w:t xml:space="preserve">actual combatants. </w:t>
      </w:r>
      <w:r>
        <w:rPr>
          <w:rFonts w:eastAsia="Times New Roman"/>
        </w:rPr>
        <w:t xml:space="preserve"> </w:t>
      </w:r>
    </w:p>
    <w:p w14:paraId="79EFBBC2" w14:textId="609AF659" w:rsidR="009E2BD6" w:rsidRDefault="009E2BD6" w:rsidP="009E2BD6">
      <w:pPr>
        <w:spacing w:before="100" w:beforeAutospacing="1" w:after="100" w:afterAutospacing="1"/>
        <w:rPr>
          <w:rFonts w:eastAsia="Times New Roman"/>
        </w:rPr>
      </w:pPr>
      <w:r>
        <w:rPr>
          <w:rFonts w:eastAsia="Times New Roman"/>
        </w:rPr>
        <w:t>These advanced cyber defense actions were not trivial</w:t>
      </w:r>
      <w:r w:rsidR="008E56B9">
        <w:rPr>
          <w:rFonts w:eastAsia="Times New Roman"/>
        </w:rPr>
        <w:t>,</w:t>
      </w:r>
      <w:r>
        <w:rPr>
          <w:rFonts w:eastAsia="Times New Roman"/>
        </w:rPr>
        <w:t xml:space="preserve"> and </w:t>
      </w:r>
      <w:r w:rsidR="008E56B9">
        <w:rPr>
          <w:rFonts w:eastAsia="Times New Roman"/>
        </w:rPr>
        <w:t xml:space="preserve">they </w:t>
      </w:r>
      <w:r>
        <w:rPr>
          <w:rFonts w:eastAsia="Times New Roman"/>
        </w:rPr>
        <w:t xml:space="preserve">mattered. </w:t>
      </w:r>
      <w:r w:rsidRPr="007B540D">
        <w:rPr>
          <w:rFonts w:eastAsia="Times New Roman"/>
        </w:rPr>
        <w:t xml:space="preserve">Even before the Russian invasion, </w:t>
      </w:r>
      <w:r>
        <w:rPr>
          <w:rFonts w:eastAsia="Times New Roman"/>
        </w:rPr>
        <w:t xml:space="preserve">U.S.-based and other </w:t>
      </w:r>
      <w:r w:rsidRPr="007B540D">
        <w:rPr>
          <w:rFonts w:eastAsia="Times New Roman"/>
        </w:rPr>
        <w:t xml:space="preserve">technology companies worked closely with the Ukrainian government to </w:t>
      </w:r>
      <w:r>
        <w:rPr>
          <w:rFonts w:eastAsia="Times New Roman"/>
        </w:rPr>
        <w:t xml:space="preserve">improve and </w:t>
      </w:r>
      <w:r w:rsidRPr="007B540D">
        <w:rPr>
          <w:rFonts w:eastAsia="Times New Roman"/>
        </w:rPr>
        <w:t>secure the country’s digital infrastructure</w:t>
      </w:r>
      <w:r>
        <w:rPr>
          <w:rFonts w:eastAsia="Times New Roman"/>
        </w:rPr>
        <w:t>. Investments in cybersecurity, r</w:t>
      </w:r>
      <w:r w:rsidRPr="007B540D">
        <w:rPr>
          <w:rFonts w:eastAsia="Times New Roman"/>
        </w:rPr>
        <w:t>esilience in infrastructure</w:t>
      </w:r>
      <w:r>
        <w:rPr>
          <w:rFonts w:eastAsia="Times New Roman"/>
        </w:rPr>
        <w:t>, use of the cloud,</w:t>
      </w:r>
      <w:r w:rsidRPr="007B540D">
        <w:rPr>
          <w:rFonts w:eastAsia="Times New Roman"/>
        </w:rPr>
        <w:t xml:space="preserve"> and the redundancy of operations proved critical for Ukraine, allowing the country’s energy networks, banks, and government services to run despite </w:t>
      </w:r>
      <w:r>
        <w:rPr>
          <w:rFonts w:eastAsia="Times New Roman"/>
        </w:rPr>
        <w:t xml:space="preserve">reported attempts at </w:t>
      </w:r>
      <w:r w:rsidRPr="007B540D">
        <w:rPr>
          <w:rFonts w:eastAsia="Times New Roman"/>
        </w:rPr>
        <w:t xml:space="preserve">disruption. </w:t>
      </w:r>
    </w:p>
    <w:p w14:paraId="7D02FC95" w14:textId="77777777" w:rsidR="009E2BD6" w:rsidRPr="00CF2949" w:rsidRDefault="009E2BD6" w:rsidP="009E2BD6">
      <w:pPr>
        <w:spacing w:before="100" w:beforeAutospacing="1" w:after="100" w:afterAutospacing="1"/>
        <w:rPr>
          <w:rFonts w:eastAsia="Times New Roman" w:cstheme="minorHAnsi"/>
        </w:rPr>
      </w:pPr>
      <w:r w:rsidRPr="00CF2949">
        <w:rPr>
          <w:rFonts w:eastAsia="Times New Roman" w:cstheme="minorHAnsi"/>
          <w:b/>
          <w:bCs/>
        </w:rPr>
        <w:t>Widespread availability of secure and trustworthy commercial technologies is empowering Ukrainian citizens in new and novel ways.</w:t>
      </w:r>
    </w:p>
    <w:p w14:paraId="76A0CAC0" w14:textId="6E01AAB1" w:rsidR="009E2BD6" w:rsidRDefault="009E2BD6" w:rsidP="009E2BD6">
      <w:pPr>
        <w:spacing w:before="100" w:beforeAutospacing="1" w:after="100" w:afterAutospacing="1"/>
        <w:rPr>
          <w:rFonts w:eastAsia="Times New Roman"/>
        </w:rPr>
      </w:pPr>
      <w:r>
        <w:rPr>
          <w:rFonts w:eastAsia="Times New Roman"/>
        </w:rPr>
        <w:t>One element</w:t>
      </w:r>
      <w:r w:rsidRPr="007B540D">
        <w:rPr>
          <w:rFonts w:eastAsia="Times New Roman"/>
        </w:rPr>
        <w:t xml:space="preserve"> </w:t>
      </w:r>
      <w:r>
        <w:rPr>
          <w:rFonts w:eastAsia="Times New Roman"/>
        </w:rPr>
        <w:t>t</w:t>
      </w:r>
      <w:r w:rsidRPr="007B540D">
        <w:rPr>
          <w:rFonts w:eastAsia="Times New Roman"/>
        </w:rPr>
        <w:t xml:space="preserve">hat </w:t>
      </w:r>
      <w:r>
        <w:rPr>
          <w:rFonts w:eastAsia="Times New Roman"/>
        </w:rPr>
        <w:t>stands</w:t>
      </w:r>
      <w:r w:rsidR="008E56B9">
        <w:rPr>
          <w:rFonts w:eastAsia="Times New Roman"/>
        </w:rPr>
        <w:t xml:space="preserve"> </w:t>
      </w:r>
      <w:r>
        <w:rPr>
          <w:rFonts w:eastAsia="Times New Roman"/>
        </w:rPr>
        <w:t xml:space="preserve">out </w:t>
      </w:r>
      <w:r w:rsidRPr="007B540D">
        <w:rPr>
          <w:rFonts w:eastAsia="Times New Roman"/>
        </w:rPr>
        <w:t>is</w:t>
      </w:r>
      <w:r>
        <w:rPr>
          <w:rFonts w:eastAsia="Times New Roman"/>
        </w:rPr>
        <w:t xml:space="preserve"> the widespread use of personal technologies like smartphones in the hands of Ukrainian citizens being used and leveraged in meaningful ways.</w:t>
      </w:r>
      <w:r w:rsidRPr="007B540D">
        <w:rPr>
          <w:rFonts w:eastAsia="Times New Roman"/>
        </w:rPr>
        <w:t xml:space="preserve"> </w:t>
      </w:r>
      <w:r>
        <w:rPr>
          <w:rFonts w:eastAsia="Times New Roman"/>
        </w:rPr>
        <w:t xml:space="preserve">Ukrainian citizens </w:t>
      </w:r>
      <w:r w:rsidRPr="00741449">
        <w:rPr>
          <w:rFonts w:eastAsia="Times New Roman"/>
        </w:rPr>
        <w:t xml:space="preserve">used apps </w:t>
      </w:r>
      <w:r>
        <w:rPr>
          <w:rFonts w:eastAsia="Times New Roman"/>
        </w:rPr>
        <w:t xml:space="preserve">on their phones </w:t>
      </w:r>
      <w:r w:rsidRPr="00741449">
        <w:rPr>
          <w:rFonts w:eastAsia="Times New Roman"/>
        </w:rPr>
        <w:t xml:space="preserve">to organize relief efforts, combat disinformation, protect evacuees, and even report on Russian troop movements. </w:t>
      </w:r>
      <w:r>
        <w:rPr>
          <w:rFonts w:eastAsia="Times New Roman"/>
        </w:rPr>
        <w:t xml:space="preserve">They have used their phones as a window for </w:t>
      </w:r>
      <w:r>
        <w:rPr>
          <w:rFonts w:eastAsia="Times New Roman"/>
        </w:rPr>
        <w:lastRenderedPageBreak/>
        <w:t xml:space="preserve">watching </w:t>
      </w:r>
      <w:r w:rsidRPr="007B540D">
        <w:rPr>
          <w:rFonts w:eastAsia="Times New Roman"/>
        </w:rPr>
        <w:t>President Zelensky rally his nation and galvanize the world each night with regular video messages.</w:t>
      </w:r>
      <w:r>
        <w:rPr>
          <w:rFonts w:eastAsia="Times New Roman"/>
        </w:rPr>
        <w:t xml:space="preserve"> President Zelensky isn’t alone in the use of video. </w:t>
      </w:r>
      <w:r w:rsidRPr="007B540D">
        <w:rPr>
          <w:rFonts w:eastAsia="Times New Roman"/>
        </w:rPr>
        <w:t xml:space="preserve">Ukrainian citizens </w:t>
      </w:r>
      <w:r>
        <w:rPr>
          <w:rFonts w:eastAsia="Times New Roman"/>
        </w:rPr>
        <w:t xml:space="preserve">turned to popular </w:t>
      </w:r>
      <w:r w:rsidRPr="007B540D">
        <w:rPr>
          <w:rFonts w:eastAsia="Times New Roman"/>
        </w:rPr>
        <w:t>smartphone apps to share</w:t>
      </w:r>
      <w:r>
        <w:rPr>
          <w:rFonts w:eastAsia="Times New Roman"/>
        </w:rPr>
        <w:t xml:space="preserve"> firsthand videos</w:t>
      </w:r>
      <w:r w:rsidRPr="007B540D">
        <w:rPr>
          <w:rFonts w:eastAsia="Times New Roman"/>
        </w:rPr>
        <w:t xml:space="preserve"> of what was </w:t>
      </w:r>
      <w:proofErr w:type="gramStart"/>
      <w:r w:rsidRPr="007B540D">
        <w:rPr>
          <w:rFonts w:eastAsia="Times New Roman"/>
        </w:rPr>
        <w:t xml:space="preserve">actually </w:t>
      </w:r>
      <w:r>
        <w:rPr>
          <w:rFonts w:eastAsia="Times New Roman"/>
        </w:rPr>
        <w:t>transpiring</w:t>
      </w:r>
      <w:proofErr w:type="gramEnd"/>
      <w:r w:rsidRPr="007B540D">
        <w:rPr>
          <w:rFonts w:eastAsia="Times New Roman"/>
        </w:rPr>
        <w:t xml:space="preserve"> on the ground</w:t>
      </w:r>
      <w:r>
        <w:rPr>
          <w:rFonts w:eastAsia="Times New Roman"/>
        </w:rPr>
        <w:t xml:space="preserve">, and </w:t>
      </w:r>
      <w:r w:rsidRPr="007B540D">
        <w:rPr>
          <w:rFonts w:eastAsia="Times New Roman"/>
        </w:rPr>
        <w:t xml:space="preserve">to document and share </w:t>
      </w:r>
      <w:r>
        <w:rPr>
          <w:rFonts w:eastAsia="Times New Roman"/>
        </w:rPr>
        <w:t xml:space="preserve">evidence of potential </w:t>
      </w:r>
      <w:r w:rsidRPr="007B540D">
        <w:rPr>
          <w:rFonts w:eastAsia="Times New Roman"/>
        </w:rPr>
        <w:t>Russian war crimes</w:t>
      </w:r>
      <w:r>
        <w:rPr>
          <w:rFonts w:eastAsia="Times New Roman"/>
        </w:rPr>
        <w:t xml:space="preserve">. They not only increased </w:t>
      </w:r>
      <w:r w:rsidRPr="00B06994">
        <w:rPr>
          <w:rFonts w:eastAsia="Times New Roman"/>
        </w:rPr>
        <w:t>transparency and made it harder to ‘hide’ what’s really going on</w:t>
      </w:r>
      <w:r>
        <w:rPr>
          <w:rFonts w:eastAsia="Times New Roman"/>
        </w:rPr>
        <w:t xml:space="preserve">, but </w:t>
      </w:r>
      <w:r w:rsidR="008E56B9">
        <w:rPr>
          <w:rFonts w:eastAsia="Times New Roman"/>
        </w:rPr>
        <w:t xml:space="preserve">these </w:t>
      </w:r>
      <w:r>
        <w:rPr>
          <w:rFonts w:eastAsia="Times New Roman"/>
        </w:rPr>
        <w:t>accounts also helped win the hearts and minds of much of the world</w:t>
      </w:r>
      <w:r w:rsidRPr="007B540D">
        <w:rPr>
          <w:rFonts w:eastAsia="Times New Roman"/>
        </w:rPr>
        <w:t xml:space="preserve">. </w:t>
      </w:r>
      <w:r>
        <w:rPr>
          <w:rFonts w:eastAsia="Times New Roman"/>
        </w:rPr>
        <w:t xml:space="preserve"> </w:t>
      </w:r>
    </w:p>
    <w:p w14:paraId="118F13E0" w14:textId="2150E168" w:rsidR="009E2BD6" w:rsidRDefault="009E2BD6" w:rsidP="009E2BD6">
      <w:pPr>
        <w:spacing w:before="100" w:beforeAutospacing="1" w:after="100" w:afterAutospacing="1"/>
        <w:rPr>
          <w:rFonts w:eastAsia="Times New Roman"/>
        </w:rPr>
      </w:pPr>
      <w:r>
        <w:rPr>
          <w:rFonts w:eastAsia="Times New Roman"/>
        </w:rPr>
        <w:t>Everyday citizens also turned to information and communications technologies to coordinate their efforts privately and securely. Early on</w:t>
      </w:r>
      <w:r w:rsidR="008E56B9">
        <w:rPr>
          <w:rFonts w:eastAsia="Times New Roman"/>
        </w:rPr>
        <w:t>,</w:t>
      </w:r>
      <w:r>
        <w:rPr>
          <w:rFonts w:eastAsia="Times New Roman"/>
        </w:rPr>
        <w:t xml:space="preserve"> many Ukrainians downloaded secure </w:t>
      </w:r>
      <w:r w:rsidRPr="007B540D">
        <w:rPr>
          <w:rFonts w:eastAsia="Times New Roman"/>
        </w:rPr>
        <w:t>messaging apps</w:t>
      </w:r>
      <w:r>
        <w:rPr>
          <w:rFonts w:eastAsia="Times New Roman"/>
        </w:rPr>
        <w:t xml:space="preserve">, like Signal, </w:t>
      </w:r>
      <w:r w:rsidRPr="007B540D">
        <w:rPr>
          <w:rFonts w:eastAsia="Times New Roman"/>
        </w:rPr>
        <w:t xml:space="preserve">to communicate and coordinate </w:t>
      </w:r>
      <w:r>
        <w:rPr>
          <w:rFonts w:eastAsia="Times New Roman"/>
        </w:rPr>
        <w:t xml:space="preserve">information and </w:t>
      </w:r>
      <w:r w:rsidRPr="007B540D">
        <w:rPr>
          <w:rFonts w:eastAsia="Times New Roman"/>
        </w:rPr>
        <w:t xml:space="preserve">resistance. Ukrainian volunteers even developed a smartphone app </w:t>
      </w:r>
      <w:r>
        <w:rPr>
          <w:rFonts w:eastAsia="Times New Roman"/>
        </w:rPr>
        <w:t xml:space="preserve">with </w:t>
      </w:r>
      <w:r w:rsidR="008E56B9">
        <w:rPr>
          <w:rFonts w:eastAsia="Times New Roman"/>
        </w:rPr>
        <w:t>the</w:t>
      </w:r>
      <w:r>
        <w:rPr>
          <w:rFonts w:eastAsia="Times New Roman"/>
        </w:rPr>
        <w:t xml:space="preserve"> ability </w:t>
      </w:r>
      <w:r w:rsidRPr="007B540D">
        <w:rPr>
          <w:rFonts w:eastAsia="Times New Roman"/>
        </w:rPr>
        <w:t>to report on the location of Russian attacks, tanks, missiles</w:t>
      </w:r>
      <w:r w:rsidR="008E56B9">
        <w:rPr>
          <w:rFonts w:eastAsia="Times New Roman"/>
        </w:rPr>
        <w:t>,</w:t>
      </w:r>
      <w:r w:rsidRPr="007B540D">
        <w:rPr>
          <w:rFonts w:eastAsia="Times New Roman"/>
        </w:rPr>
        <w:t xml:space="preserve"> and drones</w:t>
      </w:r>
      <w:r w:rsidR="008E56B9">
        <w:rPr>
          <w:rFonts w:eastAsia="Times New Roman"/>
        </w:rPr>
        <w:t xml:space="preserve"> --</w:t>
      </w:r>
      <w:r w:rsidRPr="007B540D">
        <w:rPr>
          <w:rFonts w:eastAsia="Times New Roman"/>
        </w:rPr>
        <w:t xml:space="preserve"> supplementing government intelligence collection. In fact, one </w:t>
      </w:r>
      <w:r>
        <w:rPr>
          <w:rFonts w:eastAsia="Times New Roman"/>
        </w:rPr>
        <w:t xml:space="preserve">MSC leader </w:t>
      </w:r>
      <w:r w:rsidRPr="007B540D">
        <w:rPr>
          <w:rFonts w:eastAsia="Times New Roman"/>
        </w:rPr>
        <w:t xml:space="preserve">vividly </w:t>
      </w:r>
      <w:r>
        <w:rPr>
          <w:rFonts w:eastAsia="Times New Roman"/>
        </w:rPr>
        <w:t xml:space="preserve">described what he believed to be the critical technology difference between this conflict versus conflicts of the past. He said it was </w:t>
      </w:r>
      <w:r w:rsidRPr="007B540D">
        <w:rPr>
          <w:rFonts w:eastAsia="Times New Roman"/>
        </w:rPr>
        <w:t>the Ukrainian grandm</w:t>
      </w:r>
      <w:r>
        <w:rPr>
          <w:rFonts w:eastAsia="Times New Roman"/>
        </w:rPr>
        <w:t>other</w:t>
      </w:r>
      <w:r w:rsidRPr="007B540D">
        <w:rPr>
          <w:rFonts w:eastAsia="Times New Roman"/>
        </w:rPr>
        <w:t xml:space="preserve"> who was </w:t>
      </w:r>
      <w:r>
        <w:rPr>
          <w:rFonts w:eastAsia="Times New Roman"/>
        </w:rPr>
        <w:t xml:space="preserve">now empowered with tools to enable her to look out </w:t>
      </w:r>
      <w:r w:rsidRPr="007B540D">
        <w:rPr>
          <w:rFonts w:eastAsia="Times New Roman"/>
        </w:rPr>
        <w:t xml:space="preserve">her window </w:t>
      </w:r>
      <w:r>
        <w:rPr>
          <w:rFonts w:eastAsia="Times New Roman"/>
        </w:rPr>
        <w:t xml:space="preserve">to watch for </w:t>
      </w:r>
      <w:r w:rsidRPr="007B540D">
        <w:rPr>
          <w:rFonts w:eastAsia="Times New Roman"/>
        </w:rPr>
        <w:t xml:space="preserve">and report on Russian troop </w:t>
      </w:r>
      <w:r>
        <w:rPr>
          <w:rFonts w:eastAsia="Times New Roman"/>
        </w:rPr>
        <w:t xml:space="preserve">and tank </w:t>
      </w:r>
      <w:r w:rsidRPr="007B540D">
        <w:rPr>
          <w:rFonts w:eastAsia="Times New Roman"/>
        </w:rPr>
        <w:t xml:space="preserve">movements with the </w:t>
      </w:r>
      <w:r>
        <w:rPr>
          <w:rFonts w:eastAsia="Times New Roman"/>
        </w:rPr>
        <w:t xml:space="preserve">very same </w:t>
      </w:r>
      <w:r w:rsidRPr="007B540D">
        <w:rPr>
          <w:rFonts w:eastAsia="Times New Roman"/>
        </w:rPr>
        <w:t xml:space="preserve">technology she </w:t>
      </w:r>
      <w:r w:rsidR="008E56B9">
        <w:rPr>
          <w:rFonts w:eastAsia="Times New Roman"/>
        </w:rPr>
        <w:t xml:space="preserve">previously </w:t>
      </w:r>
      <w:r w:rsidRPr="007B540D">
        <w:rPr>
          <w:rFonts w:eastAsia="Times New Roman"/>
        </w:rPr>
        <w:t xml:space="preserve">carried </w:t>
      </w:r>
      <w:r>
        <w:rPr>
          <w:rFonts w:eastAsia="Times New Roman"/>
        </w:rPr>
        <w:t xml:space="preserve">every day </w:t>
      </w:r>
      <w:r w:rsidRPr="007B540D">
        <w:rPr>
          <w:rFonts w:eastAsia="Times New Roman"/>
        </w:rPr>
        <w:t>in her p</w:t>
      </w:r>
      <w:r>
        <w:rPr>
          <w:rFonts w:eastAsia="Times New Roman"/>
        </w:rPr>
        <w:t>urse</w:t>
      </w:r>
      <w:r w:rsidRPr="007B540D">
        <w:rPr>
          <w:rFonts w:eastAsia="Times New Roman"/>
        </w:rPr>
        <w:t xml:space="preserve">. </w:t>
      </w:r>
      <w:r>
        <w:rPr>
          <w:rFonts w:eastAsia="Times New Roman"/>
        </w:rPr>
        <w:t>The fact that the technology was already widespread, and that there was no need to train people in how to use it, made it even more powerful.</w:t>
      </w:r>
    </w:p>
    <w:p w14:paraId="38FA300C" w14:textId="017D0687" w:rsidR="009E2BD6" w:rsidRPr="007B540D" w:rsidRDefault="009E2BD6" w:rsidP="009E2BD6">
      <w:pPr>
        <w:spacing w:before="100" w:beforeAutospacing="1" w:after="100" w:afterAutospacing="1"/>
        <w:rPr>
          <w:rFonts w:ascii="Times New Roman" w:eastAsia="Times New Roman" w:hAnsi="Times New Roman" w:cs="Times New Roman"/>
        </w:rPr>
      </w:pPr>
      <w:r>
        <w:rPr>
          <w:rFonts w:eastAsia="Times New Roman"/>
        </w:rPr>
        <w:t>Because of this technological shift, key paradigms are changing. It</w:t>
      </w:r>
      <w:r w:rsidRPr="00654866">
        <w:rPr>
          <w:rFonts w:eastAsia="Times New Roman"/>
        </w:rPr>
        <w:t xml:space="preserve">'s no longer just states or even commercial technology providers, but the end users of technology </w:t>
      </w:r>
      <w:r>
        <w:rPr>
          <w:rFonts w:eastAsia="Times New Roman"/>
        </w:rPr>
        <w:t xml:space="preserve">who can help </w:t>
      </w:r>
      <w:r w:rsidRPr="00654866">
        <w:rPr>
          <w:rFonts w:eastAsia="Times New Roman"/>
        </w:rPr>
        <w:t xml:space="preserve">impact the course of the conflict. </w:t>
      </w:r>
      <w:r>
        <w:rPr>
          <w:rFonts w:eastAsia="Times New Roman"/>
        </w:rPr>
        <w:t xml:space="preserve">It elevates the </w:t>
      </w:r>
      <w:r w:rsidRPr="00654866">
        <w:rPr>
          <w:rFonts w:eastAsia="Times New Roman"/>
        </w:rPr>
        <w:t>importance of the commercial technolog</w:t>
      </w:r>
      <w:r>
        <w:rPr>
          <w:rFonts w:eastAsia="Times New Roman"/>
        </w:rPr>
        <w:t xml:space="preserve">ies to both our economic and national security, and </w:t>
      </w:r>
      <w:r w:rsidR="008E56B9">
        <w:rPr>
          <w:rFonts w:eastAsia="Times New Roman"/>
        </w:rPr>
        <w:t xml:space="preserve">it </w:t>
      </w:r>
      <w:r>
        <w:rPr>
          <w:rFonts w:eastAsia="Times New Roman"/>
        </w:rPr>
        <w:t>suggests we need to similarly elevate policies to ensure that the West continues to lead the world with robust off</w:t>
      </w:r>
      <w:r w:rsidR="008E56B9">
        <w:rPr>
          <w:rFonts w:eastAsia="Times New Roman"/>
        </w:rPr>
        <w:t>-</w:t>
      </w:r>
      <w:r>
        <w:rPr>
          <w:rFonts w:eastAsia="Times New Roman"/>
        </w:rPr>
        <w:t>the</w:t>
      </w:r>
      <w:r w:rsidR="008E56B9">
        <w:rPr>
          <w:rFonts w:eastAsia="Times New Roman"/>
        </w:rPr>
        <w:t>-</w:t>
      </w:r>
      <w:r>
        <w:rPr>
          <w:rFonts w:eastAsia="Times New Roman"/>
        </w:rPr>
        <w:t>shelf technologies that are agile, innovative, secure, trustworthy, and able to provide secure communication where</w:t>
      </w:r>
      <w:r w:rsidR="008E56B9">
        <w:rPr>
          <w:rFonts w:eastAsia="Times New Roman"/>
        </w:rPr>
        <w:t>ver</w:t>
      </w:r>
      <w:r>
        <w:rPr>
          <w:rFonts w:eastAsia="Times New Roman"/>
        </w:rPr>
        <w:t xml:space="preserve"> it’s needed. I</w:t>
      </w:r>
      <w:r w:rsidRPr="007B540D">
        <w:rPr>
          <w:rFonts w:eastAsia="Times New Roman"/>
        </w:rPr>
        <w:t xml:space="preserve">n today’s technology-centric world where citizens carry </w:t>
      </w:r>
      <w:r>
        <w:rPr>
          <w:rFonts w:eastAsia="Times New Roman"/>
        </w:rPr>
        <w:t xml:space="preserve">powerful processing and communications tools </w:t>
      </w:r>
      <w:r w:rsidRPr="007B540D">
        <w:rPr>
          <w:rFonts w:eastAsia="Times New Roman"/>
        </w:rPr>
        <w:t xml:space="preserve">in their pockets, innovation and ingenuity </w:t>
      </w:r>
      <w:r>
        <w:rPr>
          <w:rFonts w:eastAsia="Times New Roman"/>
        </w:rPr>
        <w:t xml:space="preserve">have moved to </w:t>
      </w:r>
      <w:r w:rsidRPr="007B540D">
        <w:rPr>
          <w:rFonts w:eastAsia="Times New Roman"/>
        </w:rPr>
        <w:t xml:space="preserve">the </w:t>
      </w:r>
      <w:r>
        <w:rPr>
          <w:rFonts w:eastAsia="Times New Roman"/>
        </w:rPr>
        <w:t>forefront</w:t>
      </w:r>
      <w:r w:rsidRPr="007B540D">
        <w:rPr>
          <w:rFonts w:eastAsia="Times New Roman"/>
        </w:rPr>
        <w:t xml:space="preserve"> of </w:t>
      </w:r>
      <w:r>
        <w:rPr>
          <w:rFonts w:eastAsia="Times New Roman"/>
        </w:rPr>
        <w:t xml:space="preserve">how we secure our future. This trend will accelerate as we move deeper into applicable emerging technologies, including faster and highly configurable 5G data streams and AI assisted applications and data processing. </w:t>
      </w:r>
    </w:p>
    <w:p w14:paraId="7112149F" w14:textId="77777777" w:rsidR="009E2BD6" w:rsidRPr="007B540D" w:rsidRDefault="009E2BD6" w:rsidP="009E2BD6">
      <w:pPr>
        <w:spacing w:before="100" w:beforeAutospacing="1" w:after="100" w:afterAutospacing="1"/>
        <w:rPr>
          <w:rFonts w:ascii="Times New Roman" w:eastAsia="Times New Roman" w:hAnsi="Times New Roman" w:cs="Times New Roman"/>
        </w:rPr>
      </w:pPr>
      <w:r w:rsidRPr="007B540D">
        <w:rPr>
          <w:rFonts w:eastAsia="Times New Roman"/>
          <w:b/>
          <w:bCs/>
        </w:rPr>
        <w:t>Ukraine’s nimble use of technology has lessons for the world</w:t>
      </w:r>
      <w:r>
        <w:rPr>
          <w:rFonts w:eastAsia="Times New Roman"/>
          <w:b/>
          <w:bCs/>
        </w:rPr>
        <w:t xml:space="preserve"> and ensuring t</w:t>
      </w:r>
      <w:r w:rsidRPr="007B540D">
        <w:rPr>
          <w:rFonts w:eastAsia="Times New Roman"/>
          <w:b/>
          <w:bCs/>
        </w:rPr>
        <w:t xml:space="preserve">rust </w:t>
      </w:r>
      <w:r>
        <w:rPr>
          <w:rFonts w:eastAsia="Times New Roman"/>
          <w:b/>
          <w:bCs/>
        </w:rPr>
        <w:t>in our technology is a key enabler</w:t>
      </w:r>
      <w:r w:rsidRPr="007B540D">
        <w:rPr>
          <w:rFonts w:eastAsia="Times New Roman"/>
          <w:b/>
          <w:bCs/>
        </w:rPr>
        <w:t xml:space="preserve">. </w:t>
      </w:r>
    </w:p>
    <w:p w14:paraId="5DAE16EA" w14:textId="4993280E" w:rsidR="009E2BD6" w:rsidRDefault="009E2BD6" w:rsidP="009E2BD6">
      <w:pPr>
        <w:spacing w:before="100" w:beforeAutospacing="1" w:after="100" w:afterAutospacing="1"/>
        <w:rPr>
          <w:rFonts w:eastAsia="Times New Roman"/>
        </w:rPr>
      </w:pPr>
      <w:r w:rsidRPr="007B540D">
        <w:rPr>
          <w:rFonts w:eastAsia="Times New Roman"/>
        </w:rPr>
        <w:t xml:space="preserve">It was clear from the </w:t>
      </w:r>
      <w:r>
        <w:rPr>
          <w:rFonts w:eastAsia="Times New Roman"/>
        </w:rPr>
        <w:t xml:space="preserve">MSC </w:t>
      </w:r>
      <w:r w:rsidRPr="007B540D">
        <w:rPr>
          <w:rFonts w:eastAsia="Times New Roman"/>
        </w:rPr>
        <w:t xml:space="preserve">talks that the transatlantic community can </w:t>
      </w:r>
      <w:r>
        <w:rPr>
          <w:rFonts w:eastAsia="Times New Roman"/>
        </w:rPr>
        <w:t xml:space="preserve">now </w:t>
      </w:r>
      <w:r w:rsidRPr="007B540D">
        <w:rPr>
          <w:rFonts w:eastAsia="Times New Roman"/>
        </w:rPr>
        <w:t xml:space="preserve">better position itself to leverage our </w:t>
      </w:r>
      <w:r>
        <w:rPr>
          <w:rFonts w:eastAsia="Times New Roman"/>
        </w:rPr>
        <w:t xml:space="preserve">commercial </w:t>
      </w:r>
      <w:r w:rsidRPr="007B540D">
        <w:rPr>
          <w:rFonts w:eastAsia="Times New Roman"/>
        </w:rPr>
        <w:t>technological advantage</w:t>
      </w:r>
      <w:r>
        <w:rPr>
          <w:rFonts w:eastAsia="Times New Roman"/>
        </w:rPr>
        <w:t xml:space="preserve">s </w:t>
      </w:r>
      <w:r w:rsidRPr="007B540D">
        <w:rPr>
          <w:rFonts w:eastAsia="Times New Roman"/>
        </w:rPr>
        <w:t>to overcome our shared challenges</w:t>
      </w:r>
      <w:r>
        <w:rPr>
          <w:rFonts w:eastAsia="Times New Roman"/>
        </w:rPr>
        <w:t>, and better position ourselves for success</w:t>
      </w:r>
      <w:r w:rsidRPr="007B540D">
        <w:rPr>
          <w:rFonts w:eastAsia="Times New Roman"/>
        </w:rPr>
        <w:t xml:space="preserve">. </w:t>
      </w:r>
      <w:r>
        <w:rPr>
          <w:rFonts w:eastAsia="Times New Roman"/>
        </w:rPr>
        <w:t>Some suggested t</w:t>
      </w:r>
      <w:r w:rsidRPr="007B540D">
        <w:rPr>
          <w:rFonts w:eastAsia="Times New Roman"/>
        </w:rPr>
        <w:t xml:space="preserve">he transatlantic community needs to </w:t>
      </w:r>
      <w:r>
        <w:rPr>
          <w:rFonts w:eastAsia="Times New Roman"/>
        </w:rPr>
        <w:t xml:space="preserve">focus on concrete ways to better </w:t>
      </w:r>
      <w:r w:rsidRPr="007B540D">
        <w:rPr>
          <w:rFonts w:eastAsia="Times New Roman"/>
        </w:rPr>
        <w:t xml:space="preserve">leverage </w:t>
      </w:r>
      <w:r>
        <w:rPr>
          <w:rFonts w:eastAsia="Times New Roman"/>
        </w:rPr>
        <w:t xml:space="preserve">our </w:t>
      </w:r>
      <w:r w:rsidRPr="007B540D">
        <w:rPr>
          <w:rFonts w:eastAsia="Times New Roman"/>
        </w:rPr>
        <w:t xml:space="preserve">top technology </w:t>
      </w:r>
      <w:r>
        <w:rPr>
          <w:rFonts w:eastAsia="Times New Roman"/>
        </w:rPr>
        <w:t>developers</w:t>
      </w:r>
      <w:r w:rsidRPr="007B540D">
        <w:rPr>
          <w:rFonts w:eastAsia="Times New Roman"/>
        </w:rPr>
        <w:t xml:space="preserve"> </w:t>
      </w:r>
      <w:r>
        <w:rPr>
          <w:rFonts w:eastAsia="Times New Roman"/>
        </w:rPr>
        <w:t xml:space="preserve">so we can continue to </w:t>
      </w:r>
      <w:r w:rsidRPr="007B540D">
        <w:rPr>
          <w:rFonts w:eastAsia="Times New Roman"/>
        </w:rPr>
        <w:t>out-innovate</w:t>
      </w:r>
      <w:r>
        <w:rPr>
          <w:rFonts w:eastAsia="Times New Roman"/>
        </w:rPr>
        <w:t>, out compete, and out-smart</w:t>
      </w:r>
      <w:r w:rsidRPr="007B540D">
        <w:rPr>
          <w:rFonts w:eastAsia="Times New Roman"/>
        </w:rPr>
        <w:t xml:space="preserve"> our </w:t>
      </w:r>
      <w:r>
        <w:rPr>
          <w:rFonts w:eastAsia="Times New Roman"/>
        </w:rPr>
        <w:t xml:space="preserve">potential </w:t>
      </w:r>
      <w:r w:rsidRPr="007B540D">
        <w:rPr>
          <w:rFonts w:eastAsia="Times New Roman"/>
        </w:rPr>
        <w:t xml:space="preserve">adversaries. </w:t>
      </w:r>
      <w:r>
        <w:rPr>
          <w:rFonts w:eastAsia="Times New Roman"/>
        </w:rPr>
        <w:t xml:space="preserve">It is a key area for transatlantic cooperation. </w:t>
      </w:r>
      <w:r w:rsidRPr="007B540D">
        <w:rPr>
          <w:rFonts w:eastAsia="Times New Roman"/>
        </w:rPr>
        <w:t xml:space="preserve">The very fact that widely available consumer products – largely </w:t>
      </w:r>
      <w:r w:rsidRPr="007B540D">
        <w:rPr>
          <w:rFonts w:eastAsia="Times New Roman"/>
        </w:rPr>
        <w:lastRenderedPageBreak/>
        <w:t xml:space="preserve">developed in American and European innovation hubs – are playing a significant role in </w:t>
      </w:r>
      <w:r>
        <w:rPr>
          <w:rFonts w:eastAsia="Times New Roman"/>
        </w:rPr>
        <w:t>Ukraine</w:t>
      </w:r>
      <w:r w:rsidR="008E56B9">
        <w:rPr>
          <w:rFonts w:eastAsia="Times New Roman"/>
        </w:rPr>
        <w:t>,</w:t>
      </w:r>
      <w:r w:rsidRPr="007B540D">
        <w:rPr>
          <w:rFonts w:eastAsia="Times New Roman"/>
        </w:rPr>
        <w:t xml:space="preserve"> demonstrates that the ingenuity and creative technological solutions </w:t>
      </w:r>
      <w:r>
        <w:rPr>
          <w:rFonts w:eastAsia="Times New Roman"/>
        </w:rPr>
        <w:t xml:space="preserve">we develop today can be even more </w:t>
      </w:r>
      <w:r w:rsidRPr="007B540D">
        <w:rPr>
          <w:rFonts w:eastAsia="Times New Roman"/>
        </w:rPr>
        <w:t xml:space="preserve">critical to </w:t>
      </w:r>
      <w:r>
        <w:rPr>
          <w:rFonts w:eastAsia="Times New Roman"/>
        </w:rPr>
        <w:t>our success tomorrow</w:t>
      </w:r>
      <w:r w:rsidRPr="007B540D">
        <w:rPr>
          <w:rFonts w:eastAsia="Times New Roman"/>
        </w:rPr>
        <w:t xml:space="preserve">. </w:t>
      </w:r>
    </w:p>
    <w:p w14:paraId="7AB1F249" w14:textId="386BF107" w:rsidR="009E2BD6" w:rsidRPr="007B540D" w:rsidRDefault="009E2BD6" w:rsidP="009E2BD6">
      <w:pPr>
        <w:spacing w:before="100" w:beforeAutospacing="1" w:after="100" w:afterAutospacing="1"/>
        <w:rPr>
          <w:rFonts w:ascii="Times New Roman" w:eastAsia="Times New Roman" w:hAnsi="Times New Roman" w:cs="Times New Roman"/>
        </w:rPr>
      </w:pPr>
      <w:r w:rsidRPr="007B540D">
        <w:rPr>
          <w:rFonts w:eastAsia="Times New Roman"/>
        </w:rPr>
        <w:t xml:space="preserve">One government official who participated in the discussions </w:t>
      </w:r>
      <w:r>
        <w:rPr>
          <w:rFonts w:eastAsia="Times New Roman"/>
        </w:rPr>
        <w:t>highlighted the importance of secure personal technologies, saying that for the person’s highly sensitive government work, their agency secured their data and communications</w:t>
      </w:r>
      <w:r w:rsidR="00832E60">
        <w:rPr>
          <w:rFonts w:eastAsia="Times New Roman"/>
        </w:rPr>
        <w:t>. B</w:t>
      </w:r>
      <w:r>
        <w:rPr>
          <w:rFonts w:eastAsia="Times New Roman"/>
        </w:rPr>
        <w:t>ut for their – still quite meaningful – personal data and communications, they rely on trustworthy personal technologies to keep them and their family secure and communications private. Often</w:t>
      </w:r>
      <w:r w:rsidR="00D32062">
        <w:rPr>
          <w:rFonts w:eastAsia="Times New Roman"/>
        </w:rPr>
        <w:t>,</w:t>
      </w:r>
      <w:r>
        <w:rPr>
          <w:rFonts w:eastAsia="Times New Roman"/>
        </w:rPr>
        <w:t xml:space="preserve"> these personal</w:t>
      </w:r>
      <w:r w:rsidR="00D32062">
        <w:rPr>
          <w:rFonts w:eastAsia="Times New Roman"/>
        </w:rPr>
        <w:t>-</w:t>
      </w:r>
      <w:r>
        <w:rPr>
          <w:rFonts w:eastAsia="Times New Roman"/>
        </w:rPr>
        <w:t xml:space="preserve"> or commercial</w:t>
      </w:r>
      <w:r w:rsidR="00D32062">
        <w:rPr>
          <w:rFonts w:eastAsia="Times New Roman"/>
        </w:rPr>
        <w:t>-</w:t>
      </w:r>
      <w:r>
        <w:rPr>
          <w:rFonts w:eastAsia="Times New Roman"/>
        </w:rPr>
        <w:t xml:space="preserve"> technologies play roles in both official and personal networks and communications. The tech industry ‘builds-once-and sells-globally,’ and the same phones, routers, firewalls, or applications that are used by consumers are used in companies, critical infrastructure, military</w:t>
      </w:r>
      <w:r w:rsidR="00832E60">
        <w:rPr>
          <w:rFonts w:eastAsia="Times New Roman"/>
        </w:rPr>
        <w:t>,</w:t>
      </w:r>
      <w:r>
        <w:rPr>
          <w:rFonts w:eastAsia="Times New Roman"/>
        </w:rPr>
        <w:t xml:space="preserve"> and intelligence networks. Driving security and trust into all is therefore critical, as is making sure that policy makers do not unintentionally do anything to make these technologies less secure or trustworthy – it’s a global connected ecosystem. </w:t>
      </w:r>
    </w:p>
    <w:p w14:paraId="17A8CE36" w14:textId="32CAFBCE" w:rsidR="009E2BD6" w:rsidRPr="007B540D" w:rsidRDefault="009E2BD6" w:rsidP="009E2BD6">
      <w:pPr>
        <w:spacing w:before="100" w:beforeAutospacing="1" w:after="100" w:afterAutospacing="1"/>
        <w:rPr>
          <w:rFonts w:ascii="Times New Roman" w:eastAsia="Times New Roman" w:hAnsi="Times New Roman" w:cs="Times New Roman"/>
        </w:rPr>
      </w:pPr>
      <w:r>
        <w:rPr>
          <w:rFonts w:eastAsia="Times New Roman"/>
        </w:rPr>
        <w:t>It means that</w:t>
      </w:r>
      <w:r w:rsidR="00D32062">
        <w:rPr>
          <w:rFonts w:eastAsia="Times New Roman"/>
        </w:rPr>
        <w:t>,</w:t>
      </w:r>
      <w:r>
        <w:rPr>
          <w:rFonts w:eastAsia="Times New Roman"/>
        </w:rPr>
        <w:t xml:space="preserve"> today, we need our commercial off</w:t>
      </w:r>
      <w:r w:rsidR="00D32062">
        <w:rPr>
          <w:rFonts w:eastAsia="Times New Roman"/>
        </w:rPr>
        <w:t>-</w:t>
      </w:r>
      <w:r>
        <w:rPr>
          <w:rFonts w:eastAsia="Times New Roman"/>
        </w:rPr>
        <w:t>the</w:t>
      </w:r>
      <w:r w:rsidR="00D32062">
        <w:rPr>
          <w:rFonts w:eastAsia="Times New Roman"/>
        </w:rPr>
        <w:t>-</w:t>
      </w:r>
      <w:r>
        <w:rPr>
          <w:rFonts w:eastAsia="Times New Roman"/>
        </w:rPr>
        <w:t xml:space="preserve">shelf technologies to be infused with strong security and robust privacy features and ensure that innovators </w:t>
      </w:r>
      <w:proofErr w:type="gramStart"/>
      <w:r>
        <w:rPr>
          <w:rFonts w:eastAsia="Times New Roman"/>
        </w:rPr>
        <w:t>are able to</w:t>
      </w:r>
      <w:proofErr w:type="gramEnd"/>
      <w:r>
        <w:rPr>
          <w:rFonts w:eastAsia="Times New Roman"/>
        </w:rPr>
        <w:t xml:space="preserve"> continuously advance increasingly capable technologies. Whether it’s a </w:t>
      </w:r>
      <w:r w:rsidRPr="007B540D">
        <w:rPr>
          <w:rFonts w:eastAsia="Times New Roman"/>
        </w:rPr>
        <w:t xml:space="preserve">Ukrainian </w:t>
      </w:r>
      <w:r>
        <w:rPr>
          <w:rFonts w:eastAsia="Times New Roman"/>
        </w:rPr>
        <w:t>protecting their sovereignty i</w:t>
      </w:r>
      <w:r w:rsidRPr="007B540D">
        <w:rPr>
          <w:rFonts w:eastAsia="Times New Roman"/>
        </w:rPr>
        <w:t>n the streets</w:t>
      </w:r>
      <w:r>
        <w:rPr>
          <w:rFonts w:eastAsia="Times New Roman"/>
        </w:rPr>
        <w:t xml:space="preserve"> or an</w:t>
      </w:r>
      <w:r w:rsidRPr="007B540D">
        <w:rPr>
          <w:rFonts w:eastAsia="Times New Roman"/>
        </w:rPr>
        <w:t xml:space="preserve"> average American consumer – </w:t>
      </w:r>
      <w:r>
        <w:rPr>
          <w:rFonts w:eastAsia="Times New Roman"/>
        </w:rPr>
        <w:t xml:space="preserve">we all </w:t>
      </w:r>
      <w:r w:rsidRPr="007B540D">
        <w:rPr>
          <w:rFonts w:eastAsia="Times New Roman"/>
        </w:rPr>
        <w:t xml:space="preserve">must be able to </w:t>
      </w:r>
      <w:r>
        <w:rPr>
          <w:rFonts w:eastAsia="Times New Roman"/>
        </w:rPr>
        <w:t xml:space="preserve">benefit from a robust and trustworthy technology ecosystem. We all </w:t>
      </w:r>
      <w:r w:rsidRPr="007B540D">
        <w:rPr>
          <w:rFonts w:eastAsia="Times New Roman"/>
        </w:rPr>
        <w:t xml:space="preserve">must be able to trust that </w:t>
      </w:r>
      <w:r>
        <w:rPr>
          <w:rFonts w:eastAsia="Times New Roman"/>
        </w:rPr>
        <w:t xml:space="preserve">our </w:t>
      </w:r>
      <w:r w:rsidRPr="007B540D">
        <w:rPr>
          <w:rFonts w:eastAsia="Times New Roman"/>
        </w:rPr>
        <w:t xml:space="preserve">devices, apps, </w:t>
      </w:r>
      <w:r>
        <w:rPr>
          <w:rFonts w:eastAsia="Times New Roman"/>
        </w:rPr>
        <w:t>platforms</w:t>
      </w:r>
      <w:r w:rsidR="00D32062">
        <w:rPr>
          <w:rFonts w:eastAsia="Times New Roman"/>
        </w:rPr>
        <w:t>,</w:t>
      </w:r>
      <w:r>
        <w:rPr>
          <w:rFonts w:eastAsia="Times New Roman"/>
        </w:rPr>
        <w:t xml:space="preserve"> </w:t>
      </w:r>
      <w:r w:rsidRPr="007B540D">
        <w:rPr>
          <w:rFonts w:eastAsia="Times New Roman"/>
        </w:rPr>
        <w:t>and services are safe</w:t>
      </w:r>
      <w:r>
        <w:rPr>
          <w:rFonts w:eastAsia="Times New Roman"/>
        </w:rPr>
        <w:t xml:space="preserve">, that our </w:t>
      </w:r>
      <w:r w:rsidRPr="007B540D">
        <w:rPr>
          <w:rFonts w:eastAsia="Times New Roman"/>
        </w:rPr>
        <w:t xml:space="preserve">data is secure, and </w:t>
      </w:r>
      <w:r>
        <w:rPr>
          <w:rFonts w:eastAsia="Times New Roman"/>
        </w:rPr>
        <w:t xml:space="preserve">our </w:t>
      </w:r>
      <w:r w:rsidRPr="007B540D">
        <w:rPr>
          <w:rFonts w:eastAsia="Times New Roman"/>
        </w:rPr>
        <w:t xml:space="preserve">privacy </w:t>
      </w:r>
      <w:r>
        <w:rPr>
          <w:rFonts w:eastAsia="Times New Roman"/>
        </w:rPr>
        <w:t xml:space="preserve">is always </w:t>
      </w:r>
      <w:r w:rsidRPr="007B540D">
        <w:rPr>
          <w:rFonts w:eastAsia="Times New Roman"/>
        </w:rPr>
        <w:t xml:space="preserve">protected. </w:t>
      </w:r>
    </w:p>
    <w:p w14:paraId="41FBB27A" w14:textId="77777777" w:rsidR="009E2BD6" w:rsidRDefault="009E2BD6" w:rsidP="009E2BD6">
      <w:pPr>
        <w:spacing w:before="100" w:beforeAutospacing="1" w:after="100" w:afterAutospacing="1"/>
        <w:rPr>
          <w:rFonts w:eastAsia="Times New Roman"/>
        </w:rPr>
      </w:pPr>
      <w:r w:rsidRPr="009A7AF2">
        <w:rPr>
          <w:rFonts w:eastAsia="Times New Roman"/>
          <w:b/>
          <w:bCs/>
        </w:rPr>
        <w:t xml:space="preserve">Going forward, governments need to further leverage private sector technology leadership to ensure we have the economic, security, and technology advantage today and tomorrow.  </w:t>
      </w:r>
    </w:p>
    <w:p w14:paraId="6FFAC962" w14:textId="76158B66" w:rsidR="009E2BD6" w:rsidRDefault="009E2BD6" w:rsidP="009E2BD6">
      <w:pPr>
        <w:spacing w:before="100" w:beforeAutospacing="1" w:after="100" w:afterAutospacing="1"/>
        <w:rPr>
          <w:rFonts w:eastAsia="Times New Roman"/>
        </w:rPr>
      </w:pPr>
      <w:r w:rsidRPr="007B540D">
        <w:rPr>
          <w:rFonts w:eastAsia="Times New Roman"/>
        </w:rPr>
        <w:t xml:space="preserve">To build truly secure and resilient systems, we can’t just rely on government </w:t>
      </w:r>
      <w:r>
        <w:rPr>
          <w:rFonts w:eastAsia="Times New Roman"/>
        </w:rPr>
        <w:t>s</w:t>
      </w:r>
      <w:r w:rsidRPr="007B540D">
        <w:rPr>
          <w:rFonts w:eastAsia="Times New Roman"/>
        </w:rPr>
        <w:t>olutions alone</w:t>
      </w:r>
      <w:r>
        <w:rPr>
          <w:rFonts w:eastAsia="Times New Roman"/>
        </w:rPr>
        <w:t>.  Governments and policymakers alike need to leverage and accelerate our technological advantages and leadership. It requires making sure we</w:t>
      </w:r>
      <w:r w:rsidRPr="007B540D">
        <w:rPr>
          <w:rFonts w:eastAsia="Times New Roman"/>
        </w:rPr>
        <w:t xml:space="preserve"> continue to lead the world </w:t>
      </w:r>
      <w:r>
        <w:rPr>
          <w:rFonts w:eastAsia="Times New Roman"/>
        </w:rPr>
        <w:t>i</w:t>
      </w:r>
      <w:r w:rsidRPr="007B540D">
        <w:rPr>
          <w:rFonts w:eastAsia="Times New Roman"/>
        </w:rPr>
        <w:t xml:space="preserve">n </w:t>
      </w:r>
      <w:r>
        <w:rPr>
          <w:rFonts w:eastAsia="Times New Roman"/>
        </w:rPr>
        <w:t>the technologies of tomorrow by</w:t>
      </w:r>
      <w:r w:rsidRPr="007B540D">
        <w:rPr>
          <w:rFonts w:eastAsia="Times New Roman"/>
        </w:rPr>
        <w:t xml:space="preserve"> investing in </w:t>
      </w:r>
      <w:r>
        <w:rPr>
          <w:rFonts w:eastAsia="Times New Roman"/>
        </w:rPr>
        <w:t xml:space="preserve">innovation, strengthening our technology supply chains, boosting our </w:t>
      </w:r>
      <w:r w:rsidRPr="007B540D">
        <w:rPr>
          <w:rFonts w:eastAsia="Times New Roman"/>
        </w:rPr>
        <w:t>semiconductor manufacturing</w:t>
      </w:r>
      <w:r>
        <w:rPr>
          <w:rFonts w:eastAsia="Times New Roman"/>
        </w:rPr>
        <w:t xml:space="preserve"> abilities</w:t>
      </w:r>
      <w:r w:rsidRPr="007B540D">
        <w:rPr>
          <w:rFonts w:eastAsia="Times New Roman"/>
        </w:rPr>
        <w:t xml:space="preserve">, building </w:t>
      </w:r>
      <w:r>
        <w:rPr>
          <w:rFonts w:eastAsia="Times New Roman"/>
        </w:rPr>
        <w:t xml:space="preserve">out </w:t>
      </w:r>
      <w:r w:rsidRPr="007B540D">
        <w:rPr>
          <w:rFonts w:eastAsia="Times New Roman"/>
        </w:rPr>
        <w:t xml:space="preserve">innovation hubs, and fostering the high-tech workforce </w:t>
      </w:r>
      <w:r>
        <w:rPr>
          <w:rFonts w:eastAsia="Times New Roman"/>
        </w:rPr>
        <w:t xml:space="preserve">needed for </w:t>
      </w:r>
      <w:r w:rsidRPr="007B540D">
        <w:rPr>
          <w:rFonts w:eastAsia="Times New Roman"/>
        </w:rPr>
        <w:t xml:space="preserve">tomorrow. </w:t>
      </w:r>
    </w:p>
    <w:p w14:paraId="030CB75B" w14:textId="77777777" w:rsidR="009E2BD6" w:rsidRPr="00D056AB" w:rsidRDefault="009E2BD6" w:rsidP="009E2BD6">
      <w:pPr>
        <w:spacing w:before="100" w:beforeAutospacing="1" w:after="100" w:afterAutospacing="1"/>
        <w:rPr>
          <w:rFonts w:ascii="Times New Roman" w:eastAsia="Times New Roman" w:hAnsi="Times New Roman" w:cs="Times New Roman"/>
          <w:b/>
          <w:bCs/>
        </w:rPr>
      </w:pPr>
      <w:r w:rsidRPr="00D056AB">
        <w:rPr>
          <w:rFonts w:eastAsia="Times New Roman"/>
          <w:b/>
          <w:bCs/>
        </w:rPr>
        <w:t xml:space="preserve">The </w:t>
      </w:r>
      <w:r>
        <w:rPr>
          <w:rFonts w:eastAsia="Times New Roman"/>
          <w:b/>
          <w:bCs/>
        </w:rPr>
        <w:t>foundation</w:t>
      </w:r>
      <w:r w:rsidRPr="00D056AB">
        <w:rPr>
          <w:rFonts w:eastAsia="Times New Roman"/>
          <w:b/>
          <w:bCs/>
        </w:rPr>
        <w:t xml:space="preserve"> of trust needs to be baked into both our technologies and our technology making process.</w:t>
      </w:r>
    </w:p>
    <w:p w14:paraId="19E2D030" w14:textId="07F78304" w:rsidR="009E2BD6" w:rsidRDefault="009E2BD6" w:rsidP="009E2BD6">
      <w:pPr>
        <w:spacing w:before="100" w:beforeAutospacing="1" w:after="100" w:afterAutospacing="1"/>
        <w:rPr>
          <w:rFonts w:eastAsia="Times New Roman"/>
        </w:rPr>
      </w:pPr>
      <w:r w:rsidRPr="007B540D">
        <w:rPr>
          <w:rFonts w:eastAsia="Times New Roman"/>
        </w:rPr>
        <w:t xml:space="preserve">We also need </w:t>
      </w:r>
      <w:r>
        <w:rPr>
          <w:rFonts w:eastAsia="Times New Roman"/>
        </w:rPr>
        <w:t xml:space="preserve">trust </w:t>
      </w:r>
      <w:r w:rsidRPr="007B540D">
        <w:rPr>
          <w:rFonts w:eastAsia="Times New Roman"/>
        </w:rPr>
        <w:t xml:space="preserve">baked into both our technologies and </w:t>
      </w:r>
      <w:r>
        <w:rPr>
          <w:rFonts w:eastAsia="Times New Roman"/>
        </w:rPr>
        <w:t xml:space="preserve">the foundations of </w:t>
      </w:r>
      <w:r w:rsidRPr="007B540D">
        <w:rPr>
          <w:rFonts w:eastAsia="Times New Roman"/>
        </w:rPr>
        <w:t xml:space="preserve">our policymaking process. One point that came up repeatedly throughout </w:t>
      </w:r>
      <w:r w:rsidR="00832E60">
        <w:rPr>
          <w:rFonts w:eastAsia="Times New Roman"/>
        </w:rPr>
        <w:t xml:space="preserve">the </w:t>
      </w:r>
      <w:r w:rsidRPr="007B540D">
        <w:rPr>
          <w:rFonts w:eastAsia="Times New Roman"/>
        </w:rPr>
        <w:t xml:space="preserve">conversation is the need to evaluate the security, privacy, and other impact of new policy proposals. </w:t>
      </w:r>
      <w:r>
        <w:rPr>
          <w:rFonts w:eastAsia="Times New Roman"/>
        </w:rPr>
        <w:t xml:space="preserve">It means we need policymakers everywhere, including those in the U.S and EU, to </w:t>
      </w:r>
      <w:r w:rsidR="00832E60">
        <w:rPr>
          <w:rFonts w:eastAsia="Times New Roman"/>
        </w:rPr>
        <w:t xml:space="preserve">advance technology policy proposals that </w:t>
      </w:r>
      <w:r w:rsidR="00832E60">
        <w:rPr>
          <w:rFonts w:eastAsia="Times New Roman"/>
        </w:rPr>
        <w:lastRenderedPageBreak/>
        <w:t>elevate privacy and security standards. At the same time, policymakers must</w:t>
      </w:r>
      <w:r>
        <w:rPr>
          <w:rFonts w:eastAsia="Times New Roman"/>
        </w:rPr>
        <w:t xml:space="preserve"> avoid </w:t>
      </w:r>
      <w:r w:rsidR="00832E60">
        <w:rPr>
          <w:rFonts w:eastAsia="Times New Roman"/>
        </w:rPr>
        <w:t>actions</w:t>
      </w:r>
      <w:r>
        <w:rPr>
          <w:rFonts w:eastAsia="Times New Roman"/>
        </w:rPr>
        <w:t xml:space="preserve"> that could unintentionally undermine the foundational protections consumers need </w:t>
      </w:r>
      <w:r w:rsidR="00832E60">
        <w:rPr>
          <w:rFonts w:eastAsia="Times New Roman"/>
        </w:rPr>
        <w:t>for</w:t>
      </w:r>
      <w:r>
        <w:rPr>
          <w:rFonts w:eastAsia="Times New Roman"/>
        </w:rPr>
        <w:t xml:space="preserve"> their privacy and security today, and that may </w:t>
      </w:r>
      <w:r w:rsidR="00832E60">
        <w:rPr>
          <w:rFonts w:eastAsia="Times New Roman"/>
        </w:rPr>
        <w:t>help</w:t>
      </w:r>
      <w:r>
        <w:rPr>
          <w:rFonts w:eastAsia="Times New Roman"/>
        </w:rPr>
        <w:t xml:space="preserve"> ward of threats from authoritarian regimes tomorrow.  </w:t>
      </w:r>
    </w:p>
    <w:p w14:paraId="2D5988C6" w14:textId="72188321" w:rsidR="009E2BD6" w:rsidRPr="007B540D" w:rsidRDefault="009E2BD6" w:rsidP="009E2BD6">
      <w:pPr>
        <w:spacing w:before="100" w:beforeAutospacing="1" w:after="100" w:afterAutospacing="1"/>
        <w:rPr>
          <w:rFonts w:ascii="Times New Roman" w:eastAsia="Times New Roman" w:hAnsi="Times New Roman" w:cs="Times New Roman"/>
        </w:rPr>
      </w:pPr>
      <w:r>
        <w:rPr>
          <w:rFonts w:eastAsia="Times New Roman"/>
        </w:rPr>
        <w:t xml:space="preserve">One way to bake trust into the policymaking process is to institute a comprehensive technology assessment of the privacy, security, and safety impacts of proposals prior to enactment.  </w:t>
      </w:r>
      <w:r w:rsidRPr="007B540D">
        <w:rPr>
          <w:rFonts w:eastAsia="Times New Roman"/>
        </w:rPr>
        <w:t>Congress today</w:t>
      </w:r>
      <w:r>
        <w:rPr>
          <w:rFonts w:eastAsia="Times New Roman"/>
        </w:rPr>
        <w:t>, for example, performs</w:t>
      </w:r>
      <w:r w:rsidRPr="007B540D">
        <w:rPr>
          <w:rFonts w:eastAsia="Times New Roman"/>
        </w:rPr>
        <w:t xml:space="preserve"> a budgetary impact assessment </w:t>
      </w:r>
      <w:r>
        <w:rPr>
          <w:rFonts w:eastAsia="Times New Roman"/>
        </w:rPr>
        <w:t xml:space="preserve">(a ‘score’) </w:t>
      </w:r>
      <w:r w:rsidRPr="007B540D">
        <w:rPr>
          <w:rFonts w:eastAsia="Times New Roman"/>
        </w:rPr>
        <w:t>before passing legislation</w:t>
      </w:r>
      <w:r>
        <w:rPr>
          <w:rFonts w:eastAsia="Times New Roman"/>
        </w:rPr>
        <w:t>. L</w:t>
      </w:r>
      <w:r w:rsidRPr="007B540D">
        <w:rPr>
          <w:rFonts w:eastAsia="Times New Roman"/>
        </w:rPr>
        <w:t xml:space="preserve">ocal leaders </w:t>
      </w:r>
      <w:r>
        <w:rPr>
          <w:rFonts w:eastAsia="Times New Roman"/>
        </w:rPr>
        <w:t xml:space="preserve">similarly perform </w:t>
      </w:r>
      <w:r w:rsidRPr="007B540D">
        <w:rPr>
          <w:rFonts w:eastAsia="Times New Roman"/>
        </w:rPr>
        <w:t xml:space="preserve">an environmental impact assessment before building a new project. A similar assessment on trust and security for technology policies can help improve outcomes and reduce the chances that policymakers will inadvertently impede our ability to harness future technologies. Such an assessment would also ensure that new policies do not actively make devices and systems less </w:t>
      </w:r>
      <w:r>
        <w:rPr>
          <w:rFonts w:eastAsia="Times New Roman"/>
        </w:rPr>
        <w:t xml:space="preserve">trustworthy, less </w:t>
      </w:r>
      <w:r w:rsidRPr="007B540D">
        <w:rPr>
          <w:rFonts w:eastAsia="Times New Roman"/>
        </w:rPr>
        <w:t xml:space="preserve">secure, less reliable, or less resilient. </w:t>
      </w:r>
    </w:p>
    <w:p w14:paraId="5EE0DB69" w14:textId="01369FB2" w:rsidR="009E2BD6" w:rsidRPr="007B540D" w:rsidRDefault="009E2BD6" w:rsidP="009E2BD6">
      <w:pPr>
        <w:spacing w:before="100" w:beforeAutospacing="1" w:after="100" w:afterAutospacing="1"/>
        <w:rPr>
          <w:rFonts w:ascii="Times New Roman" w:eastAsia="Times New Roman" w:hAnsi="Times New Roman" w:cs="Times New Roman"/>
        </w:rPr>
      </w:pPr>
      <w:r w:rsidRPr="007B540D">
        <w:rPr>
          <w:rFonts w:eastAsia="Times New Roman"/>
        </w:rPr>
        <w:t>E</w:t>
      </w:r>
      <w:r>
        <w:rPr>
          <w:rFonts w:eastAsia="Times New Roman"/>
        </w:rPr>
        <w:t xml:space="preserve">mpowering consumers with powerful and capable technologies </w:t>
      </w:r>
      <w:r w:rsidRPr="007B540D">
        <w:rPr>
          <w:rFonts w:eastAsia="Times New Roman"/>
        </w:rPr>
        <w:t xml:space="preserve">requires ingenuity and innovation from all sectors of society. </w:t>
      </w:r>
      <w:r>
        <w:rPr>
          <w:rFonts w:eastAsia="Times New Roman"/>
        </w:rPr>
        <w:t xml:space="preserve">And there is no time like the present to get started. </w:t>
      </w:r>
    </w:p>
    <w:p w14:paraId="734E2FEC" w14:textId="77777777" w:rsidR="009E2BD6" w:rsidRDefault="009E2BD6" w:rsidP="009E2BD6"/>
    <w:p w14:paraId="63D34793" w14:textId="77777777" w:rsidR="00514482" w:rsidRDefault="005D32D3">
      <w:pPr>
        <w:spacing w:after="0" w:line="259" w:lineRule="auto"/>
        <w:ind w:left="0" w:firstLine="0"/>
      </w:pPr>
      <w:r>
        <w:rPr>
          <w:b/>
        </w:rPr>
        <w:t xml:space="preserve"> </w:t>
      </w:r>
    </w:p>
    <w:sectPr w:rsidR="00514482">
      <w:headerReference w:type="even" r:id="rId7"/>
      <w:headerReference w:type="default" r:id="rId8"/>
      <w:headerReference w:type="first" r:id="rId9"/>
      <w:pgSz w:w="12240" w:h="15840"/>
      <w:pgMar w:top="2906" w:right="1268" w:bottom="736" w:left="1441"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368D" w14:textId="77777777" w:rsidR="002B6459" w:rsidRDefault="002B6459">
      <w:pPr>
        <w:spacing w:after="0" w:line="240" w:lineRule="auto"/>
      </w:pPr>
      <w:r>
        <w:separator/>
      </w:r>
    </w:p>
  </w:endnote>
  <w:endnote w:type="continuationSeparator" w:id="0">
    <w:p w14:paraId="700F2286" w14:textId="77777777" w:rsidR="002B6459" w:rsidRDefault="002B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1C56" w14:textId="77777777" w:rsidR="002B6459" w:rsidRDefault="002B6459">
      <w:pPr>
        <w:spacing w:after="0" w:line="240" w:lineRule="auto"/>
      </w:pPr>
      <w:r>
        <w:separator/>
      </w:r>
    </w:p>
  </w:footnote>
  <w:footnote w:type="continuationSeparator" w:id="0">
    <w:p w14:paraId="2358E1EC" w14:textId="77777777" w:rsidR="002B6459" w:rsidRDefault="002B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61AC" w14:textId="77777777" w:rsidR="00514482" w:rsidRDefault="005D32D3">
    <w:pPr>
      <w:spacing w:after="0" w:line="259" w:lineRule="auto"/>
      <w:ind w:left="0" w:firstLine="0"/>
    </w:pPr>
    <w:r>
      <w:rPr>
        <w:noProof/>
      </w:rPr>
      <w:drawing>
        <wp:anchor distT="0" distB="0" distL="114300" distR="114300" simplePos="0" relativeHeight="251658240" behindDoc="0" locked="0" layoutInCell="1" allowOverlap="0" wp14:anchorId="1D6EC8EB" wp14:editId="3E1EAA73">
          <wp:simplePos x="0" y="0"/>
          <wp:positionH relativeFrom="page">
            <wp:posOffset>867410</wp:posOffset>
          </wp:positionH>
          <wp:positionV relativeFrom="page">
            <wp:posOffset>1113155</wp:posOffset>
          </wp:positionV>
          <wp:extent cx="1197610" cy="557530"/>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
                  <a:stretch>
                    <a:fillRect/>
                  </a:stretch>
                </pic:blipFill>
                <pic:spPr>
                  <a:xfrm>
                    <a:off x="0" y="0"/>
                    <a:ext cx="1197610" cy="557530"/>
                  </a:xfrm>
                  <a:prstGeom prst="rect">
                    <a:avLst/>
                  </a:prstGeom>
                </pic:spPr>
              </pic:pic>
            </a:graphicData>
          </a:graphic>
        </wp:anchor>
      </w:drawing>
    </w:r>
    <w:r>
      <w:t xml:space="preserve"> </w:t>
    </w:r>
  </w:p>
  <w:p w14:paraId="09BBE56B" w14:textId="77777777" w:rsidR="00514482" w:rsidRDefault="005D32D3">
    <w:r>
      <w:rPr>
        <w:noProof/>
        <w:sz w:val="22"/>
      </w:rPr>
      <mc:AlternateContent>
        <mc:Choice Requires="wpg">
          <w:drawing>
            <wp:anchor distT="0" distB="0" distL="114300" distR="114300" simplePos="0" relativeHeight="251659264" behindDoc="1" locked="0" layoutInCell="1" allowOverlap="1" wp14:anchorId="397DD7C4" wp14:editId="2BCB59D0">
              <wp:simplePos x="0" y="0"/>
              <wp:positionH relativeFrom="page">
                <wp:posOffset>0</wp:posOffset>
              </wp:positionH>
              <wp:positionV relativeFrom="page">
                <wp:posOffset>0</wp:posOffset>
              </wp:positionV>
              <wp:extent cx="7762242" cy="10058398"/>
              <wp:effectExtent l="0" t="0" r="0" b="0"/>
              <wp:wrapNone/>
              <wp:docPr id="5880" name="Group 5880"/>
              <wp:cNvGraphicFramePr/>
              <a:graphic xmlns:a="http://schemas.openxmlformats.org/drawingml/2006/main">
                <a:graphicData uri="http://schemas.microsoft.com/office/word/2010/wordprocessingGroup">
                  <wpg:wgp>
                    <wpg:cNvGrpSpPr/>
                    <wpg:grpSpPr>
                      <a:xfrm>
                        <a:off x="0" y="0"/>
                        <a:ext cx="7762242" cy="10058398"/>
                        <a:chOff x="0" y="0"/>
                        <a:chExt cx="7762242" cy="10058398"/>
                      </a:xfrm>
                    </wpg:grpSpPr>
                    <pic:pic xmlns:pic="http://schemas.openxmlformats.org/drawingml/2006/picture">
                      <pic:nvPicPr>
                        <pic:cNvPr id="5881" name="Picture 5881"/>
                        <pic:cNvPicPr/>
                      </pic:nvPicPr>
                      <pic:blipFill>
                        <a:blip r:embed="rId2"/>
                        <a:stretch>
                          <a:fillRect/>
                        </a:stretch>
                      </pic:blipFill>
                      <pic:spPr>
                        <a:xfrm>
                          <a:off x="0" y="0"/>
                          <a:ext cx="3883152" cy="10055352"/>
                        </a:xfrm>
                        <a:prstGeom prst="rect">
                          <a:avLst/>
                        </a:prstGeom>
                      </pic:spPr>
                    </pic:pic>
                  </wpg:wgp>
                </a:graphicData>
              </a:graphic>
            </wp:anchor>
          </w:drawing>
        </mc:Choice>
        <mc:Fallback xmlns:a="http://schemas.openxmlformats.org/drawingml/2006/main" xmlns:oel="http://schemas.microsoft.com/office/2019/extlst">
          <w:pict>
            <v:group id="Group 5880" style="width:611.2pt;height:792pt;position:absolute;z-index:-2147483648;mso-position-horizontal-relative:page;mso-position-horizontal:absolute;margin-left:9.23872e-06pt;mso-position-vertical-relative:page;margin-top:0pt;" coordsize="77622,100583">
              <v:shape id="Picture 5881" style="position:absolute;width:38831;height:100553;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463B" w14:textId="77777777" w:rsidR="00514482" w:rsidRDefault="005D32D3">
    <w:pPr>
      <w:spacing w:after="0" w:line="259" w:lineRule="auto"/>
      <w:ind w:left="0" w:firstLine="0"/>
    </w:pPr>
    <w:r>
      <w:rPr>
        <w:noProof/>
      </w:rPr>
      <w:drawing>
        <wp:anchor distT="0" distB="0" distL="114300" distR="114300" simplePos="0" relativeHeight="251660288" behindDoc="0" locked="0" layoutInCell="1" allowOverlap="0" wp14:anchorId="334151B6" wp14:editId="6BE88217">
          <wp:simplePos x="0" y="0"/>
          <wp:positionH relativeFrom="page">
            <wp:posOffset>867410</wp:posOffset>
          </wp:positionH>
          <wp:positionV relativeFrom="page">
            <wp:posOffset>1113155</wp:posOffset>
          </wp:positionV>
          <wp:extent cx="1197610" cy="5575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
                  <a:stretch>
                    <a:fillRect/>
                  </a:stretch>
                </pic:blipFill>
                <pic:spPr>
                  <a:xfrm>
                    <a:off x="0" y="0"/>
                    <a:ext cx="1197610" cy="557530"/>
                  </a:xfrm>
                  <a:prstGeom prst="rect">
                    <a:avLst/>
                  </a:prstGeom>
                </pic:spPr>
              </pic:pic>
            </a:graphicData>
          </a:graphic>
        </wp:anchor>
      </w:drawing>
    </w:r>
    <w:r>
      <w:t xml:space="preserve"> </w:t>
    </w:r>
  </w:p>
  <w:p w14:paraId="7F5C3C1E" w14:textId="77777777" w:rsidR="00514482" w:rsidRDefault="005D32D3">
    <w:r>
      <w:rPr>
        <w:noProof/>
        <w:sz w:val="22"/>
      </w:rPr>
      <mc:AlternateContent>
        <mc:Choice Requires="wpg">
          <w:drawing>
            <wp:anchor distT="0" distB="0" distL="114300" distR="114300" simplePos="0" relativeHeight="251661312" behindDoc="1" locked="0" layoutInCell="1" allowOverlap="1" wp14:anchorId="51D3976D" wp14:editId="3D65202B">
              <wp:simplePos x="0" y="0"/>
              <wp:positionH relativeFrom="page">
                <wp:posOffset>0</wp:posOffset>
              </wp:positionH>
              <wp:positionV relativeFrom="page">
                <wp:posOffset>0</wp:posOffset>
              </wp:positionV>
              <wp:extent cx="7762242" cy="10058398"/>
              <wp:effectExtent l="0" t="0" r="0" b="0"/>
              <wp:wrapNone/>
              <wp:docPr id="5870" name="Group 5870"/>
              <wp:cNvGraphicFramePr/>
              <a:graphic xmlns:a="http://schemas.openxmlformats.org/drawingml/2006/main">
                <a:graphicData uri="http://schemas.microsoft.com/office/word/2010/wordprocessingGroup">
                  <wpg:wgp>
                    <wpg:cNvGrpSpPr/>
                    <wpg:grpSpPr>
                      <a:xfrm>
                        <a:off x="0" y="0"/>
                        <a:ext cx="7762242" cy="10058398"/>
                        <a:chOff x="0" y="0"/>
                        <a:chExt cx="7762242" cy="10058398"/>
                      </a:xfrm>
                    </wpg:grpSpPr>
                    <pic:pic xmlns:pic="http://schemas.openxmlformats.org/drawingml/2006/picture">
                      <pic:nvPicPr>
                        <pic:cNvPr id="5871" name="Picture 5871"/>
                        <pic:cNvPicPr/>
                      </pic:nvPicPr>
                      <pic:blipFill>
                        <a:blip r:embed="rId2"/>
                        <a:stretch>
                          <a:fillRect/>
                        </a:stretch>
                      </pic:blipFill>
                      <pic:spPr>
                        <a:xfrm>
                          <a:off x="0" y="0"/>
                          <a:ext cx="3883152" cy="10055352"/>
                        </a:xfrm>
                        <a:prstGeom prst="rect">
                          <a:avLst/>
                        </a:prstGeom>
                      </pic:spPr>
                    </pic:pic>
                  </wpg:wgp>
                </a:graphicData>
              </a:graphic>
            </wp:anchor>
          </w:drawing>
        </mc:Choice>
        <mc:Fallback xmlns:a="http://schemas.openxmlformats.org/drawingml/2006/main" xmlns:oel="http://schemas.microsoft.com/office/2019/extlst">
          <w:pict>
            <v:group id="Group 5870" style="width:611.2pt;height:792pt;position:absolute;z-index:-2147483648;mso-position-horizontal-relative:page;mso-position-horizontal:absolute;margin-left:9.23872e-06pt;mso-position-vertical-relative:page;margin-top:0pt;" coordsize="77622,100583">
              <v:shape id="Picture 5871" style="position:absolute;width:38831;height:100553;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08D0" w14:textId="77777777" w:rsidR="00514482" w:rsidRDefault="005D32D3">
    <w:pPr>
      <w:spacing w:after="0" w:line="259" w:lineRule="auto"/>
      <w:ind w:left="0" w:firstLine="0"/>
    </w:pPr>
    <w:r>
      <w:rPr>
        <w:noProof/>
      </w:rPr>
      <w:drawing>
        <wp:anchor distT="0" distB="0" distL="114300" distR="114300" simplePos="0" relativeHeight="251662336" behindDoc="0" locked="0" layoutInCell="1" allowOverlap="0" wp14:anchorId="6B8FD6DA" wp14:editId="0832631B">
          <wp:simplePos x="0" y="0"/>
          <wp:positionH relativeFrom="page">
            <wp:posOffset>867410</wp:posOffset>
          </wp:positionH>
          <wp:positionV relativeFrom="page">
            <wp:posOffset>1113155</wp:posOffset>
          </wp:positionV>
          <wp:extent cx="1197610" cy="557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
                  <a:stretch>
                    <a:fillRect/>
                  </a:stretch>
                </pic:blipFill>
                <pic:spPr>
                  <a:xfrm>
                    <a:off x="0" y="0"/>
                    <a:ext cx="1197610" cy="557530"/>
                  </a:xfrm>
                  <a:prstGeom prst="rect">
                    <a:avLst/>
                  </a:prstGeom>
                </pic:spPr>
              </pic:pic>
            </a:graphicData>
          </a:graphic>
        </wp:anchor>
      </w:drawing>
    </w:r>
    <w:r>
      <w:t xml:space="preserve"> </w:t>
    </w:r>
  </w:p>
  <w:p w14:paraId="4FE205E7" w14:textId="77777777" w:rsidR="00514482" w:rsidRDefault="005D32D3">
    <w:r>
      <w:rPr>
        <w:noProof/>
        <w:sz w:val="22"/>
      </w:rPr>
      <mc:AlternateContent>
        <mc:Choice Requires="wpg">
          <w:drawing>
            <wp:anchor distT="0" distB="0" distL="114300" distR="114300" simplePos="0" relativeHeight="251663360" behindDoc="1" locked="0" layoutInCell="1" allowOverlap="1" wp14:anchorId="1010CAAB" wp14:editId="6F3BBD03">
              <wp:simplePos x="0" y="0"/>
              <wp:positionH relativeFrom="page">
                <wp:posOffset>0</wp:posOffset>
              </wp:positionH>
              <wp:positionV relativeFrom="page">
                <wp:posOffset>0</wp:posOffset>
              </wp:positionV>
              <wp:extent cx="7762242" cy="10058398"/>
              <wp:effectExtent l="0" t="0" r="0" b="0"/>
              <wp:wrapNone/>
              <wp:docPr id="5860" name="Group 5860"/>
              <wp:cNvGraphicFramePr/>
              <a:graphic xmlns:a="http://schemas.openxmlformats.org/drawingml/2006/main">
                <a:graphicData uri="http://schemas.microsoft.com/office/word/2010/wordprocessingGroup">
                  <wpg:wgp>
                    <wpg:cNvGrpSpPr/>
                    <wpg:grpSpPr>
                      <a:xfrm>
                        <a:off x="0" y="0"/>
                        <a:ext cx="7762242" cy="10058398"/>
                        <a:chOff x="0" y="0"/>
                        <a:chExt cx="7762242" cy="10058398"/>
                      </a:xfrm>
                    </wpg:grpSpPr>
                    <pic:pic xmlns:pic="http://schemas.openxmlformats.org/drawingml/2006/picture">
                      <pic:nvPicPr>
                        <pic:cNvPr id="5861" name="Picture 5861"/>
                        <pic:cNvPicPr/>
                      </pic:nvPicPr>
                      <pic:blipFill>
                        <a:blip r:embed="rId2"/>
                        <a:stretch>
                          <a:fillRect/>
                        </a:stretch>
                      </pic:blipFill>
                      <pic:spPr>
                        <a:xfrm>
                          <a:off x="0" y="0"/>
                          <a:ext cx="3883152" cy="10055352"/>
                        </a:xfrm>
                        <a:prstGeom prst="rect">
                          <a:avLst/>
                        </a:prstGeom>
                      </pic:spPr>
                    </pic:pic>
                  </wpg:wgp>
                </a:graphicData>
              </a:graphic>
            </wp:anchor>
          </w:drawing>
        </mc:Choice>
        <mc:Fallback xmlns:a="http://schemas.openxmlformats.org/drawingml/2006/main" xmlns:oel="http://schemas.microsoft.com/office/2019/extlst">
          <w:pict>
            <v:group id="Group 5860" style="width:611.2pt;height:792pt;position:absolute;z-index:-2147483648;mso-position-horizontal-relative:page;mso-position-horizontal:absolute;margin-left:9.23872e-06pt;mso-position-vertical-relative:page;margin-top:0pt;" coordsize="77622,100583">
              <v:shape id="Picture 5861" style="position:absolute;width:38831;height:100553;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1642"/>
    <w:multiLevelType w:val="hybridMultilevel"/>
    <w:tmpl w:val="3C6C4C74"/>
    <w:lvl w:ilvl="0" w:tplc="5E402BFA">
      <w:start w:val="1"/>
      <w:numFmt w:val="decimal"/>
      <w:lvlText w:val="%1."/>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F44530">
      <w:start w:val="1"/>
      <w:numFmt w:val="lowerLetter"/>
      <w:lvlText w:val="%2"/>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443074">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146FD0">
      <w:start w:val="1"/>
      <w:numFmt w:val="decimal"/>
      <w:lvlText w:val="%4"/>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0E9566">
      <w:start w:val="1"/>
      <w:numFmt w:val="lowerLetter"/>
      <w:lvlText w:val="%5"/>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FCAC9A">
      <w:start w:val="1"/>
      <w:numFmt w:val="lowerRoman"/>
      <w:lvlText w:val="%6"/>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C0C7B0">
      <w:start w:val="1"/>
      <w:numFmt w:val="decimal"/>
      <w:lvlText w:val="%7"/>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40D44E">
      <w:start w:val="1"/>
      <w:numFmt w:val="lowerLetter"/>
      <w:lvlText w:val="%8"/>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DCDA3E">
      <w:start w:val="1"/>
      <w:numFmt w:val="lowerRoman"/>
      <w:lvlText w:val="%9"/>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9C6A69"/>
    <w:multiLevelType w:val="hybridMultilevel"/>
    <w:tmpl w:val="F41C66B0"/>
    <w:lvl w:ilvl="0" w:tplc="046ACFCE">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1CF5B8">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94CD52">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8D59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49910">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582CE0">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E6D336">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30D3BA">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32E056">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76546208">
    <w:abstractNumId w:val="1"/>
  </w:num>
  <w:num w:numId="2" w16cid:durableId="196453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82"/>
    <w:rsid w:val="000D7C4A"/>
    <w:rsid w:val="002B6459"/>
    <w:rsid w:val="004705EF"/>
    <w:rsid w:val="00514482"/>
    <w:rsid w:val="005438CB"/>
    <w:rsid w:val="005D32D3"/>
    <w:rsid w:val="00832E60"/>
    <w:rsid w:val="008E56B9"/>
    <w:rsid w:val="009E2BD6"/>
    <w:rsid w:val="00D32062"/>
    <w:rsid w:val="00E8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0A40"/>
  <w15:docId w15:val="{F3DDADDE-91A5-F14A-BB29-6F92E027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49" w:lineRule="auto"/>
      <w:ind w:left="10"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254" w:line="259" w:lineRule="auto"/>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Revision">
    <w:name w:val="Revision"/>
    <w:hidden/>
    <w:uiPriority w:val="99"/>
    <w:semiHidden/>
    <w:rsid w:val="008E56B9"/>
    <w:rPr>
      <w:rFonts w:ascii="Calibri" w:eastAsia="Calibri" w:hAnsi="Calibri" w:cs="Calibri"/>
      <w:color w:val="000000"/>
      <w:lang w:bidi="en-US"/>
    </w:rPr>
  </w:style>
  <w:style w:type="character" w:styleId="CommentReference">
    <w:name w:val="annotation reference"/>
    <w:basedOn w:val="DefaultParagraphFont"/>
    <w:uiPriority w:val="99"/>
    <w:semiHidden/>
    <w:unhideWhenUsed/>
    <w:rsid w:val="00D32062"/>
    <w:rPr>
      <w:sz w:val="16"/>
      <w:szCs w:val="16"/>
    </w:rPr>
  </w:style>
  <w:style w:type="paragraph" w:styleId="CommentText">
    <w:name w:val="annotation text"/>
    <w:basedOn w:val="Normal"/>
    <w:link w:val="CommentTextChar"/>
    <w:uiPriority w:val="99"/>
    <w:unhideWhenUsed/>
    <w:rsid w:val="00D32062"/>
    <w:pPr>
      <w:spacing w:line="240" w:lineRule="auto"/>
    </w:pPr>
    <w:rPr>
      <w:sz w:val="20"/>
      <w:szCs w:val="20"/>
    </w:rPr>
  </w:style>
  <w:style w:type="character" w:customStyle="1" w:styleId="CommentTextChar">
    <w:name w:val="Comment Text Char"/>
    <w:basedOn w:val="DefaultParagraphFont"/>
    <w:link w:val="CommentText"/>
    <w:uiPriority w:val="99"/>
    <w:rsid w:val="00D32062"/>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32062"/>
    <w:rPr>
      <w:b/>
      <w:bCs/>
    </w:rPr>
  </w:style>
  <w:style w:type="character" w:customStyle="1" w:styleId="CommentSubjectChar">
    <w:name w:val="Comment Subject Char"/>
    <w:basedOn w:val="CommentTextChar"/>
    <w:link w:val="CommentSubject"/>
    <w:uiPriority w:val="99"/>
    <w:semiHidden/>
    <w:rsid w:val="00D32062"/>
    <w:rPr>
      <w:rFonts w:ascii="Calibri" w:eastAsia="Calibri" w:hAnsi="Calibri" w:cs="Calibri"/>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20.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Ken Gude</cp:lastModifiedBy>
  <cp:revision>3</cp:revision>
  <dcterms:created xsi:type="dcterms:W3CDTF">2022-11-29T15:32:00Z</dcterms:created>
  <dcterms:modified xsi:type="dcterms:W3CDTF">2022-11-29T15:37:00Z</dcterms:modified>
</cp:coreProperties>
</file>